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ISTITUTO PROFESSIONALE DI STATO DEI SERVIZI PER L’ENOGASTRONOMIA E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L’OSPITALITÀ ALBERGHIERA G. MINUTO Marina di Massa</w:t>
      </w:r>
    </w:p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PASSAGGIO ALLA CLASSE TERZA E RELATIVO PROGRAMMA DI SECONDA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Materia: </w:t>
      </w: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LABORATORIO DEI SERVIZI ENOGASTRONOMICI - CUCINA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Libro di testo: tecniche di cucina e pasticceria - ALMA- edizioni Plan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CONOSCENZE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ABILITA’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COMPETENZE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Figure professionali che operano nel settore enogastronomico e caratteristiche delle professioni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Ruoli e gerarchia della brigata di cucina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Deontologia professionale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laboratorio di cucina: le aree di lavoro, le attrezzature e gli utensili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Igiene personale, dei prodotti, dei processi di lavoro e pulizia dell’ambiente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Norme di prevenzione e sicurezza sul lavoro e rudimenti sul primo soccorso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Cenni sulla corretta utilizzazione igienica e gastronomica delle principali materie prime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Elementi di gastronomia tipica del territorio in cui si opera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Principali tipi di menu e successione dei piatti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base di cucina e principali tecniche di cottura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Principali tecniche di produzione di salse, contorni, uova, primi e secondi piatti.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base di pasticceria, principali impasti e creme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Riconoscere le principali figure professionali correlate al settore enogastronomico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Acquisire un corretto atteggiamento nei confronti della professione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Relazionarsi positivamente con i colleghi e operare nel rispetto del proprio ruolo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Rispettare il percorso delle merci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Identificare attrezzature e utensili di uso comune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Provvedere alle corrette operazioni di funzionamento ordinario delle attrezzature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Rispettare le Buone pratiche di lavorazione inerenti l’igiene personale, la preparazione, la cottura e la conservazione dei prodotti e la pulizia del laboratorio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Identificare le materie prime e i principali elementi di qualità e conservarle correttamente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Distinguere i prodotti tipici e i piatti tradizionali del territorio in cui si opera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Distinguere il menu dalla carta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Eseguire le fasi di lavorazione nella corretta sequenza per compiti semplici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Eseguire le principali tecniche di base nella produzione gastronomica di cucina e di pasticceria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Presentare i piatti nel rispetto delle regole tecniche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DI BASE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Comprendere il cambiamento e le diversità dei tempi storici in una dimensione diacronica attraverso il confronto fra epoche e in una dimensione sincronica attraverso il confronto fra aree geografiche e culturali.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Riconoscere le caratteristiche essenziali del sistema socio economico per orientarsi nel tessuto produttivo del proprio territorio.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CHIAVE DI CITTADINANZA</w:t>
            </w: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20"/>
                <w:szCs w:val="20"/>
                <w:rtl w:val="0"/>
              </w:rPr>
              <w:t xml:space="preserve">Imparare ad imparare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20"/>
                <w:szCs w:val="20"/>
                <w:rtl w:val="0"/>
              </w:rPr>
              <w:t xml:space="preserve">Progettare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20"/>
                <w:szCs w:val="20"/>
                <w:rtl w:val="0"/>
              </w:rPr>
              <w:t xml:space="preserve">Comunicare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20"/>
                <w:szCs w:val="20"/>
                <w:rtl w:val="0"/>
              </w:rPr>
              <w:t xml:space="preserve">Collaborare e partecipare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20"/>
                <w:szCs w:val="20"/>
                <w:rtl w:val="0"/>
              </w:rPr>
              <w:t xml:space="preserve">Agire in modo autonome e responsabile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20"/>
                <w:szCs w:val="20"/>
                <w:rtl w:val="0"/>
              </w:rPr>
              <w:t xml:space="preserve">Risolvere problemi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20"/>
                <w:szCs w:val="20"/>
                <w:rtl w:val="0"/>
              </w:rPr>
              <w:t xml:space="preserve">Individuare collegamenti e relazioni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20"/>
                <w:szCs w:val="20"/>
                <w:rtl w:val="0"/>
              </w:rPr>
              <w:t xml:space="preserve">Acquisire e interpretare l’informazione.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ab/>
              <w:tab/>
            </w:r>
          </w:p>
        </w:tc>
      </w:tr>
    </w:tbl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1"/>
          <w:szCs w:val="21"/>
          <w:rtl w:val="0"/>
        </w:rPr>
        <w:t xml:space="preserve">CONTENUTI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60.0" w:type="dxa"/>
        <w:jc w:val="left"/>
        <w:tblInd w:w="60.0" w:type="pct"/>
        <w:tblLayout w:type="fixed"/>
        <w:tblLook w:val="0600"/>
      </w:tblPr>
      <w:tblGrid>
        <w:gridCol w:w="2430"/>
        <w:gridCol w:w="6645"/>
        <w:gridCol w:w="2085"/>
        <w:tblGridChange w:id="0">
          <w:tblGrid>
            <w:gridCol w:w="2430"/>
            <w:gridCol w:w="6645"/>
            <w:gridCol w:w="2085"/>
          </w:tblGrid>
        </w:tblGridChange>
      </w:tblGrid>
      <w:tr>
        <w:trPr>
          <w:trHeight w:val="6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1"/>
                <w:szCs w:val="21"/>
                <w:rtl w:val="0"/>
              </w:rPr>
              <w:t xml:space="preserve">TITOLO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1"/>
                <w:szCs w:val="21"/>
                <w:rtl w:val="0"/>
              </w:rPr>
              <w:t xml:space="preserve">CONTENUTI Essenziali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           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RIPASSO E APPROFONDIMENTO DEGLI ARGOMENTI DI BASE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1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Le figure professionali l’ambiente di cucina, igiene e sicurezza sul lavoro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15"/>
                <w:szCs w:val="15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funzioni di ogni componente della brigata.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Etica professionale.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Corrette operazioni di funzionamento ordinario delle attrezzature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Cenni di legislazione igienica: il “pacchetto igiene”.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principali norme di primo soccorso. Collaborare attivamente con tutti i reparti della struttura.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mise en place.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L’organizzazione del lavoro in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Scegliere utensili di cottura in base all’uso.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Riconoscere le situazioni di pericolo che si presentano negli ambienti di cucina.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RIPASSO E APPROFONDIMENTO DEGLI ARGOMENTI DI BASE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2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Le tecniche di base e i primi piatti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Conoscere e realizzare i principali fondi e le principali salse: fondo bianco, fondo bruno, salse madri.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Utilizzare in modo appropriato le principali salse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salse emulsionate.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Partecipare attivamente alla lezione e interagire in gruppo, contribuendo all’apprendimento comune ed alla realizzazione delle attività collettive.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Realizzazione di ricette di  primi piatti semplici.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Paste fresche all’uovo e non.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Gnocchi di patate.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Gnocchi speciali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Crespelle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Paste gratinate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Paste ripiene.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Cotture per espansione, concentrazione e miste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principali tecniche di cottura: bollire, cuocere al salto, arrostire, friggere, etc.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MODULO 2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CARNI,  PRIMI E SECONDI PIATTI CON  CONTORNI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Unità 1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Le carni: preparazioni di base, tecniche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di cottura e ricette e abbinamento con contorni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tessuti che compongono la carne.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animali da macello.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animali da cortile.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.Tecniche di preparazione delle carni.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cottura degli ortaggi.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cottura e servizio delle carni.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Igiene personale, dei prodotti, dei processi di lavoro e la pulizia dell’ambiente.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Secondi piatti a base di differenti tipologie di carni.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Salse per primi piatti a base di carne.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Farce a base di carne per paste ripiene.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Mantenere pulito e ordinato il laboratorio, in  particolare la propria postazione di lavoro.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2</w:t>
            </w:r>
          </w:p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PRODOTTI ITTICI, PRIMI E SECONDI PIATTI CON  CONTORNI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2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prodotti ittici: preparazioni di base, tecniche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di cottura e ricette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Classificazione dei prodotti ittici..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Criteri di valutazione della freschezza.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Pulizia dei principali prodotti ittici: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pesci, crostacei, molluschi.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Eseguire le principali tecniche di base nella preparazione, nella produzione, nella cottura e nel servizio dei prodotti ittici.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Primi piatti a base di prodotti ittici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Secondi piatti con contorno a base di prodotti ittici.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Varie cotture dei prodotti ittici.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3</w:t>
            </w:r>
          </w:p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ELEMENTI DI PASTICCERIA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Unità 1 -</w:t>
            </w:r>
          </w:p>
          <w:p w:rsidR="00000000" w:rsidDel="00000000" w:rsidP="00000000" w:rsidRDefault="00000000" w:rsidRPr="00000000">
            <w:pPr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Preparazioni di base di pasticceria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impasti dolci e salati - impasti base: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pasta frolla, pasta briseè, pasta choux e pan di spagna..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creme e le salse di base: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crema pasticcera, crema chantilly, panna montata, ganache al cioccolato.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Igiene personale, dei prodotti, dei processi di lavoro e la pulizia dell’ambiente.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Realizzare alcuni dessert e preparazioni semplici di pasticceria.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Realizzazione di semplici dessert al cucchiaio.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Realizzazione di torte secche.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4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ELEMENTI DI COMPOSIZIONE DEL MENU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183.27272727272728" w:lineRule="auto"/>
              <w:ind w:left="8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Unità 1</w:t>
            </w:r>
          </w:p>
          <w:p w:rsidR="00000000" w:rsidDel="00000000" w:rsidP="00000000" w:rsidRDefault="00000000" w:rsidRPr="00000000">
            <w:pPr>
              <w:ind w:left="80" w:firstLine="4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Il menu, il piatto e la ricetta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Definizione di piatto e di ricetta.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Che cosa è un menu.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Cenni sulle caratteristiche generali della cucina  italiana.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Elementi di gastronomia del territorio: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realizzazione di alcuni piatti della tradizione locale.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Scrivere una ricetta a livello base.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TIPOLOGIA DELLA PROVA DA EFFETTUARE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Numero 2  tipologie di prove da svolgersi nell’arco della stessa giornata.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n° 1 prova pratica in laboratorio 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n° 1 Prova orale 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       IL REFERENTE DEL DIPARTIMENTO DISCIPLINARE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                                    Matteo Castelliti                              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